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6C" w:rsidRDefault="00AD206C" w:rsidP="00AD206C">
      <w:pPr>
        <w:overflowPunct/>
        <w:ind w:firstLine="709"/>
        <w:jc w:val="center"/>
        <w:textAlignment w:val="auto"/>
        <w:rPr>
          <w:rFonts w:ascii="Liberation Serif" w:hAnsi="Liberation Serif" w:cs="Liberation Serif"/>
          <w:szCs w:val="28"/>
        </w:rPr>
      </w:pPr>
      <w:r w:rsidRPr="00AD206C">
        <w:rPr>
          <w:rFonts w:ascii="Liberation Serif" w:hAnsi="Liberation Serif" w:cs="Liberation Serif"/>
          <w:szCs w:val="28"/>
        </w:rPr>
        <w:t>Уважаемые жители городского округа Дегтярск!</w:t>
      </w:r>
    </w:p>
    <w:p w:rsidR="00E25503" w:rsidRPr="00AD206C" w:rsidRDefault="00E25503" w:rsidP="00AD206C">
      <w:pPr>
        <w:overflowPunct/>
        <w:ind w:firstLine="709"/>
        <w:jc w:val="center"/>
        <w:textAlignment w:val="auto"/>
        <w:rPr>
          <w:rFonts w:ascii="Liberation Serif" w:hAnsi="Liberation Serif" w:cs="Liberation Serif"/>
          <w:szCs w:val="28"/>
        </w:rPr>
      </w:pPr>
    </w:p>
    <w:p w:rsidR="00AD206C" w:rsidRPr="00AD206C" w:rsidRDefault="00AD206C" w:rsidP="00AD206C">
      <w:pPr>
        <w:overflowPunct/>
        <w:ind w:firstLine="709"/>
        <w:jc w:val="both"/>
        <w:textAlignment w:val="auto"/>
      </w:pPr>
      <w:r w:rsidRPr="00AD206C">
        <w:rPr>
          <w:rFonts w:ascii="Liberation Serif" w:hAnsi="Liberation Serif" w:cs="Liberation Serif"/>
          <w:b/>
          <w:sz w:val="24"/>
          <w:szCs w:val="24"/>
        </w:rPr>
        <w:t>ОБРАЩАЕМ ВАШЕ ВНИМЕНИЕ</w:t>
      </w:r>
      <w:r>
        <w:rPr>
          <w:rFonts w:ascii="Liberation Serif" w:hAnsi="Liberation Serif" w:cs="Liberation Serif"/>
          <w:sz w:val="24"/>
          <w:szCs w:val="24"/>
        </w:rPr>
        <w:t>, что в</w:t>
      </w:r>
      <w:r>
        <w:rPr>
          <w:rFonts w:ascii="Liberation Serif" w:hAnsi="Liberation Serif" w:cs="Liberation Serif"/>
          <w:sz w:val="24"/>
          <w:szCs w:val="24"/>
        </w:rPr>
        <w:t xml:space="preserve"> соответствии с Указом Губернатора Свердловской области от 18.03.2020 № 100-УГ «О введении на территории Свердловской область режима повышенной готовности и принятии дополнительных мер по защите населения от новой коронавирусной инфекции (2019-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nCoV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)» (далее – Указ № 100-УГ) на территории Свердловской области </w:t>
      </w:r>
      <w:r w:rsidRPr="00AD206C">
        <w:rPr>
          <w:rFonts w:ascii="Liberation Serif" w:hAnsi="Liberation Serif" w:cs="Liberation Serif"/>
          <w:b/>
          <w:sz w:val="24"/>
          <w:szCs w:val="24"/>
        </w:rPr>
        <w:t xml:space="preserve">введен режим повышенной готовности </w:t>
      </w:r>
      <w:r w:rsidRPr="00AD206C">
        <w:rPr>
          <w:rFonts w:ascii="Liberation Serif" w:hAnsi="Liberation Serif" w:cs="Liberation Serif"/>
          <w:sz w:val="24"/>
          <w:szCs w:val="24"/>
        </w:rPr>
        <w:t>для органов управления и сил Свердловской областной подсистемы единой государственной системы предупреждения и ликвидации чрезвычайных ситуаций.</w:t>
      </w:r>
    </w:p>
    <w:p w:rsidR="00AD206C" w:rsidRDefault="00AD206C" w:rsidP="00AD206C">
      <w:pPr>
        <w:widowControl w:val="0"/>
        <w:overflowPunct/>
        <w:autoSpaceDE/>
        <w:ind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Согласно указанному </w:t>
      </w:r>
      <w:r w:rsidRPr="00AD206C">
        <w:rPr>
          <w:rFonts w:ascii="Liberation Serif" w:hAnsi="Liberation Serif" w:cs="Liberation Serif"/>
          <w:sz w:val="24"/>
          <w:szCs w:val="24"/>
          <w:lang w:eastAsia="en-US"/>
        </w:rPr>
        <w:t xml:space="preserve">документу </w:t>
      </w:r>
      <w:r w:rsidRPr="00AD206C">
        <w:rPr>
          <w:rFonts w:ascii="Liberation Serif" w:hAnsi="Liberation Serif" w:cs="Liberation Serif"/>
          <w:b/>
          <w:szCs w:val="28"/>
        </w:rPr>
        <w:t xml:space="preserve">жителям Свердловской области предписано </w:t>
      </w:r>
      <w:r w:rsidRPr="00AD206C">
        <w:rPr>
          <w:rFonts w:ascii="Liberation Serif" w:hAnsi="Liberation Serif" w:cs="Liberation Serif"/>
          <w:b/>
          <w:color w:val="000000"/>
          <w:szCs w:val="28"/>
          <w:lang w:eastAsia="en-US"/>
        </w:rPr>
        <w:t>при нахождении в общественных местах, в том числе в общественном транспорте</w:t>
      </w:r>
      <w:r>
        <w:rPr>
          <w:rFonts w:ascii="Liberation Serif" w:hAnsi="Liberation Serif" w:cs="Liberation Serif"/>
          <w:color w:val="000000"/>
          <w:sz w:val="24"/>
          <w:szCs w:val="24"/>
          <w:lang w:eastAsia="en-US"/>
        </w:rPr>
        <w:t xml:space="preserve"> </w:t>
      </w:r>
      <w:r w:rsidRPr="00AD206C">
        <w:rPr>
          <w:rFonts w:ascii="Liberation Serif" w:hAnsi="Liberation Serif" w:cs="Liberation Serif"/>
          <w:b/>
          <w:color w:val="000000"/>
          <w:szCs w:val="28"/>
          <w:lang w:eastAsia="en-US"/>
        </w:rPr>
        <w:t>использовать индивидуальные средства защиты дыхательных путей</w:t>
      </w:r>
      <w:r>
        <w:rPr>
          <w:rFonts w:ascii="Liberation Serif" w:hAnsi="Liberation Serif" w:cs="Liberation Serif"/>
          <w:color w:val="000000"/>
          <w:sz w:val="24"/>
          <w:szCs w:val="24"/>
          <w:lang w:eastAsia="en-US"/>
        </w:rPr>
        <w:t xml:space="preserve"> (санитарно-гигиенические маски, респираторы). Допускается не использовать индивидуальные средства защиты дыхательных путей только при посещении мест общественного пользования, не являющихся закрытым пространством или помещением, или территории, прилегающей к ним.</w:t>
      </w:r>
    </w:p>
    <w:p w:rsidR="00AD206C" w:rsidRDefault="00AD206C" w:rsidP="00AD206C">
      <w:pPr>
        <w:ind w:firstLine="709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За неисполнение установленных Указом № 100-УГ ограничений, граждане и организации могут быть подвергнуты административной ответственности по статье 20.6.¹ Кодекса Российской Федерации об административных правонарушениях. </w:t>
      </w:r>
    </w:p>
    <w:p w:rsidR="00AD206C" w:rsidRDefault="00AD206C" w:rsidP="00AD206C">
      <w:pPr>
        <w:ind w:firstLine="709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AD206C" w:rsidRPr="00E25503" w:rsidRDefault="00AD206C" w:rsidP="00E25503">
      <w:pPr>
        <w:suppressAutoHyphens w:val="0"/>
        <w:overflowPunct/>
        <w:adjustRightInd w:val="0"/>
        <w:jc w:val="both"/>
        <w:textAlignment w:val="auto"/>
        <w:outlineLvl w:val="0"/>
        <w:rPr>
          <w:rFonts w:ascii="Liberation Serif" w:eastAsiaTheme="minorHAnsi" w:hAnsi="Liberation Serif" w:cs="Liberation Serif"/>
          <w:b/>
          <w:bCs/>
          <w:sz w:val="20"/>
          <w:lang w:eastAsia="en-US"/>
        </w:rPr>
      </w:pP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Статья 20.6.1. Невыполнение правил поведения при чрезвычайной ситуации или угрозе ее возникновения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(введена Федеральным </w:t>
      </w:r>
      <w:hyperlink r:id="rId4" w:history="1">
        <w:r w:rsidRPr="00E25503">
          <w:rPr>
            <w:rFonts w:ascii="Liberation Serif" w:eastAsiaTheme="minorHAnsi" w:hAnsi="Liberation Serif" w:cs="Liberation Serif"/>
            <w:b/>
            <w:bCs/>
            <w:sz w:val="20"/>
            <w:lang w:eastAsia="en-US"/>
          </w:rPr>
          <w:t>законом</w:t>
        </w:r>
      </w:hyperlink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от 01.04.2020 N 99-ФЗ)</w:t>
      </w:r>
    </w:p>
    <w:p w:rsidR="00AD206C" w:rsidRPr="00E25503" w:rsidRDefault="00AD206C" w:rsidP="00E25503">
      <w:pPr>
        <w:suppressAutoHyphens w:val="0"/>
        <w:overflowPunct/>
        <w:adjustRightInd w:val="0"/>
        <w:jc w:val="both"/>
        <w:textAlignment w:val="auto"/>
        <w:rPr>
          <w:rFonts w:ascii="Liberation Serif" w:eastAsiaTheme="minorHAnsi" w:hAnsi="Liberation Serif" w:cs="Liberation Serif"/>
          <w:bCs/>
          <w:sz w:val="20"/>
          <w:lang w:eastAsia="en-US"/>
        </w:rPr>
      </w:pPr>
    </w:p>
    <w:p w:rsidR="00AD206C" w:rsidRPr="00E25503" w:rsidRDefault="00AD206C" w:rsidP="00E25503">
      <w:pPr>
        <w:suppressAutoHyphens w:val="0"/>
        <w:overflowPunct/>
        <w:adjustRightInd w:val="0"/>
        <w:jc w:val="both"/>
        <w:textAlignment w:val="auto"/>
        <w:rPr>
          <w:rFonts w:ascii="Liberation Serif" w:eastAsiaTheme="minorHAnsi" w:hAnsi="Liberation Serif" w:cs="Liberation Serif"/>
          <w:b/>
          <w:bCs/>
          <w:sz w:val="20"/>
          <w:lang w:eastAsia="en-US"/>
        </w:rPr>
      </w:pPr>
      <w:bookmarkStart w:id="0" w:name="Par3"/>
      <w:bookmarkEnd w:id="0"/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1. Невыполнение </w:t>
      </w:r>
      <w:hyperlink r:id="rId5" w:history="1">
        <w:r w:rsidRPr="00E25503">
          <w:rPr>
            <w:rFonts w:ascii="Liberation Serif" w:eastAsiaTheme="minorHAnsi" w:hAnsi="Liberation Serif" w:cs="Liberation Serif"/>
            <w:bCs/>
            <w:sz w:val="20"/>
            <w:lang w:eastAsia="en-US"/>
          </w:rPr>
          <w:t>правил</w:t>
        </w:r>
      </w:hyperlink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 поведения при введении режима повышенной готовности на </w:t>
      </w:r>
      <w:hyperlink r:id="rId6" w:history="1">
        <w:r w:rsidRPr="00E25503">
          <w:rPr>
            <w:rFonts w:ascii="Liberation Serif" w:eastAsiaTheme="minorHAnsi" w:hAnsi="Liberation Serif" w:cs="Liberation Serif"/>
            <w:bCs/>
            <w:sz w:val="20"/>
            <w:lang w:eastAsia="en-US"/>
          </w:rPr>
          <w:t>территории</w:t>
        </w:r>
      </w:hyperlink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, на которой существует угроза возникновения чрезвычайной ситуации, или в зоне чрезвычайной ситуации, за исключением случаев, предусмотренных </w:t>
      </w:r>
      <w:hyperlink r:id="rId7" w:history="1">
        <w:r w:rsidRPr="00E25503">
          <w:rPr>
            <w:rFonts w:ascii="Liberation Serif" w:eastAsiaTheme="minorHAnsi" w:hAnsi="Liberation Serif" w:cs="Liberation Serif"/>
            <w:bCs/>
            <w:sz w:val="20"/>
            <w:lang w:eastAsia="en-US"/>
          </w:rPr>
          <w:t>частью 2 статьи 6.3</w:t>
        </w:r>
      </w:hyperlink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 настоящего Кодекса, -</w:t>
      </w:r>
      <w:r w:rsid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 </w:t>
      </w:r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влечет предупреждение или наложение административного штрафа 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на граждан в размере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1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тысячи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30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рублей; на должностных лиц -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10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50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рублей; на лиц, осуществляющих предпринимательскую деятельность без образования юридического лица, -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30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50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рублей; на юридических лиц -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100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300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рублей.</w:t>
      </w:r>
    </w:p>
    <w:p w:rsidR="00AD206C" w:rsidRPr="00E25503" w:rsidRDefault="00AD206C" w:rsidP="00E25503">
      <w:pPr>
        <w:suppressAutoHyphens w:val="0"/>
        <w:overflowPunct/>
        <w:adjustRightInd w:val="0"/>
        <w:jc w:val="both"/>
        <w:textAlignment w:val="auto"/>
        <w:rPr>
          <w:rFonts w:ascii="Liberation Serif" w:eastAsiaTheme="minorHAnsi" w:hAnsi="Liberation Serif" w:cs="Liberation Serif"/>
          <w:bCs/>
          <w:sz w:val="20"/>
          <w:lang w:eastAsia="en-US"/>
        </w:rPr>
      </w:pPr>
    </w:p>
    <w:p w:rsidR="00AD206C" w:rsidRPr="00E25503" w:rsidRDefault="00AD206C" w:rsidP="00E25503">
      <w:pPr>
        <w:suppressAutoHyphens w:val="0"/>
        <w:overflowPunct/>
        <w:adjustRightInd w:val="0"/>
        <w:jc w:val="both"/>
        <w:textAlignment w:val="auto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2. Действия (бездействие), предусмотренные </w:t>
      </w:r>
      <w:hyperlink w:anchor="Par3" w:history="1">
        <w:r w:rsidRPr="00E25503">
          <w:rPr>
            <w:rFonts w:ascii="Liberation Serif" w:eastAsiaTheme="minorHAnsi" w:hAnsi="Liberation Serif" w:cs="Liberation Serif"/>
            <w:bCs/>
            <w:sz w:val="20"/>
            <w:lang w:eastAsia="en-US"/>
          </w:rPr>
          <w:t>частью 1</w:t>
        </w:r>
      </w:hyperlink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 настоящей статьи, повлекшие причинение вреда здоровью человека или имуществу, за исключением случаев, предусмотренных </w:t>
      </w:r>
      <w:hyperlink r:id="rId8" w:history="1">
        <w:r w:rsidRPr="00E25503">
          <w:rPr>
            <w:rFonts w:ascii="Liberation Serif" w:eastAsiaTheme="minorHAnsi" w:hAnsi="Liberation Serif" w:cs="Liberation Serif"/>
            <w:bCs/>
            <w:sz w:val="20"/>
            <w:lang w:eastAsia="en-US"/>
          </w:rPr>
          <w:t>частью 3 статьи 6.3</w:t>
        </w:r>
      </w:hyperlink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 настоящего Кодекса,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 </w:t>
      </w:r>
      <w:hyperlink w:anchor="Par3" w:history="1">
        <w:r w:rsidRPr="00E25503">
          <w:rPr>
            <w:rFonts w:ascii="Liberation Serif" w:eastAsiaTheme="minorHAnsi" w:hAnsi="Liberation Serif" w:cs="Liberation Serif"/>
            <w:bCs/>
            <w:sz w:val="20"/>
            <w:lang w:eastAsia="en-US"/>
          </w:rPr>
          <w:t>частью 1</w:t>
        </w:r>
      </w:hyperlink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 настоящей статьи, -</w:t>
      </w:r>
    </w:p>
    <w:p w:rsidR="00AD206C" w:rsidRDefault="00AD206C" w:rsidP="00E25503">
      <w:pPr>
        <w:suppressAutoHyphens w:val="0"/>
        <w:overflowPunct/>
        <w:adjustRightInd w:val="0"/>
        <w:jc w:val="both"/>
        <w:textAlignment w:val="auto"/>
        <w:rPr>
          <w:rFonts w:ascii="Liberation Serif" w:eastAsiaTheme="minorHAnsi" w:hAnsi="Liberation Serif" w:cs="Liberation Serif"/>
          <w:b/>
          <w:bCs/>
          <w:sz w:val="20"/>
          <w:lang w:eastAsia="en-US"/>
        </w:rPr>
      </w:pPr>
      <w:r w:rsidRPr="00E25503">
        <w:rPr>
          <w:rFonts w:ascii="Liberation Serif" w:eastAsiaTheme="minorHAnsi" w:hAnsi="Liberation Serif" w:cs="Liberation Serif"/>
          <w:bCs/>
          <w:sz w:val="20"/>
          <w:lang w:eastAsia="en-US"/>
        </w:rPr>
        <w:t xml:space="preserve">влекут наложение административного штрафа 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на граждан в размере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15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50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рублей; на должностных лиц -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300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500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500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1 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миллиона рублей или административное приостановление деятельности на срок до девяноста суток; на юридических лиц - от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500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тысяч до </w:t>
      </w:r>
      <w:r w:rsidR="00E25503"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>1</w:t>
      </w:r>
      <w:r w:rsidRPr="00E25503">
        <w:rPr>
          <w:rFonts w:ascii="Liberation Serif" w:eastAsiaTheme="minorHAnsi" w:hAnsi="Liberation Serif" w:cs="Liberation Serif"/>
          <w:b/>
          <w:bCs/>
          <w:sz w:val="20"/>
          <w:lang w:eastAsia="en-US"/>
        </w:rPr>
        <w:t xml:space="preserve"> миллиона рублей или административное приостановление деятельности на срок до девяноста суток.</w:t>
      </w:r>
    </w:p>
    <w:p w:rsidR="00AD206C" w:rsidRPr="00AD206C" w:rsidRDefault="00E25503" w:rsidP="00314948">
      <w:pPr>
        <w:suppressAutoHyphens w:val="0"/>
        <w:overflowPunct/>
        <w:adjustRightInd w:val="0"/>
        <w:jc w:val="center"/>
        <w:textAlignment w:val="auto"/>
        <w:rPr>
          <w:rFonts w:ascii="Liberation Serif" w:eastAsia="Calibri" w:hAnsi="Liberation Serif" w:cs="Liberation Serif"/>
          <w:sz w:val="20"/>
          <w:lang w:eastAsia="en-US"/>
        </w:rPr>
      </w:pPr>
      <w:r>
        <w:rPr>
          <w:noProof/>
        </w:rPr>
        <w:drawing>
          <wp:inline distT="0" distB="0" distL="0" distR="0">
            <wp:extent cx="2396489" cy="2819400"/>
            <wp:effectExtent l="0" t="0" r="4445" b="0"/>
            <wp:docPr id="1" name="Рисунок 1" descr="https://insigns.ru/wp-content/uploads/2020/05/mask1_sm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signs.ru/wp-content/uploads/2020/05/mask1_sm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4" cy="285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27672" w:rsidRPr="00AD206C" w:rsidRDefault="00AB0633" w:rsidP="00AD206C">
      <w:pPr>
        <w:rPr>
          <w:sz w:val="20"/>
        </w:rPr>
      </w:pPr>
    </w:p>
    <w:sectPr w:rsidR="00927672" w:rsidRPr="00AD206C" w:rsidSect="0031494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81"/>
    <w:rsid w:val="00314948"/>
    <w:rsid w:val="00917979"/>
    <w:rsid w:val="00962981"/>
    <w:rsid w:val="009F566D"/>
    <w:rsid w:val="00AB0633"/>
    <w:rsid w:val="00AD206C"/>
    <w:rsid w:val="00E2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76B6B-3978-4162-9EDA-90371916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206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9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1230E981A17898205BFBD1D763D593247C2BF01F2D729298B7D6735C77F13089C2B32495845FE0702510F1E06FE9CEBB9A9D076E024D75u3e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1230E981A17898205BFBD1D763D593247C2BF01F2D729298B7D6735C77F13089C2B32495845FE0762510F1E06FE9CEBB9A9D076E024D75u3e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1230E981A17898205BFBD1D763D593247D2BF91C2F729298B7D6735C77F1309BC2EB28958144E0743046A0A6u3eA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11230E981A17898205BFBD1D763D593247D2BF31E29729298B7D6735C77F13089C2B32495805AE17D2510F1E06FE9CEBB9A9D076E024D75u3e2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11230E981A17898205BFBD1D763D593247D2BF0172C729298B7D6735C77F13089C2B32495805AE2732510F1E06FE9CEBB9A9D076E024D75u3e2J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2020-10-01T09:58:00Z</cp:lastPrinted>
  <dcterms:created xsi:type="dcterms:W3CDTF">2020-10-01T10:10:00Z</dcterms:created>
  <dcterms:modified xsi:type="dcterms:W3CDTF">2020-10-01T10:10:00Z</dcterms:modified>
</cp:coreProperties>
</file>